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ADATKEZELÉSI</w:t>
      </w:r>
      <w:r w:rsidRPr="00DD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HIT- ÉS ERKÖLCSTAN</w:t>
      </w:r>
      <w:r w:rsidRPr="00DD17F0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OKTATÁSSAL KAPCSOLATOS ADATKEZELÉS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I. Az Adatkezelő bemutatása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Adatkezelő megnevezése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 xml:space="preserve">: </w:t>
      </w:r>
      <w:r w:rsidRPr="00DD17F0">
        <w:rPr>
          <w:rFonts w:ascii="Times New Roman" w:hAnsi="Times New Roman" w:cs="Times New Roman"/>
          <w:sz w:val="24"/>
          <w:szCs w:val="24"/>
        </w:rPr>
        <w:t xml:space="preserve">  </w:t>
      </w:r>
      <w:r w:rsidRPr="00DD17F0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Pr="00DD17F0">
        <w:rPr>
          <w:rFonts w:ascii="Times New Roman" w:hAnsi="Times New Roman" w:cs="Times New Roman"/>
          <w:sz w:val="24"/>
          <w:szCs w:val="24"/>
          <w:highlight w:val="yellow"/>
        </w:rPr>
        <w:t xml:space="preserve">  iskola neve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Adatkezelő törzskönyvi azonosító száma: </w:t>
      </w:r>
      <w:r w:rsidRPr="00DD17F0">
        <w:rPr>
          <w:rFonts w:ascii="Times New Roman" w:hAnsi="Times New Roman" w:cs="Times New Roman"/>
          <w:sz w:val="24"/>
          <w:szCs w:val="24"/>
          <w:highlight w:val="yellow"/>
        </w:rPr>
        <w:t>OM azonosító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Adatkezelő székhelye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:</w:t>
      </w:r>
      <w:r w:rsidRPr="00DD17F0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  <w:highlight w:val="yellow"/>
        </w:rPr>
        <w:t>….cím</w:t>
      </w:r>
      <w:proofErr w:type="gramEnd"/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Adatkezelő elektronikus címe: </w:t>
      </w:r>
      <w:r w:rsidRPr="00DD17F0">
        <w:rPr>
          <w:rFonts w:ascii="Times New Roman" w:hAnsi="Times New Roman" w:cs="Times New Roman"/>
          <w:sz w:val="24"/>
          <w:szCs w:val="24"/>
          <w:highlight w:val="yellow"/>
        </w:rPr>
        <w:t>e-mail cím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Adatkezelő képviselője: </w:t>
      </w:r>
      <w:r w:rsidRPr="00DD17F0">
        <w:rPr>
          <w:rFonts w:ascii="Times New Roman" w:hAnsi="Times New Roman" w:cs="Times New Roman"/>
          <w:sz w:val="24"/>
          <w:szCs w:val="24"/>
          <w:highlight w:val="yellow"/>
        </w:rPr>
        <w:t>intézményvezető neve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Adatvédelmi tisztviselő: </w:t>
      </w:r>
      <w:r w:rsidRPr="00DD17F0">
        <w:rPr>
          <w:rFonts w:ascii="Times New Roman" w:hAnsi="Times New Roman" w:cs="Times New Roman"/>
          <w:sz w:val="24"/>
          <w:szCs w:val="24"/>
          <w:highlight w:val="yellow"/>
        </w:rPr>
        <w:t>az iskola adatvédelmi tisztviselőjének neve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II. Az adatkezeléssel összefüggő főbb irányadó jogszabályok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információs önrendelkezési jogról és az információszabadságról szóló 2011. évi CXII.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törvény,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Európai Parlament és a Tanács (EU) 2016/679 rendelete a természetes személyeknek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a személyes adatok kezelése tekintetében történő védelméről és az ilyen adatok szabad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áramlásáról, valamint a 95/46/EK irányelv hatályon kívül helyezéséről (általános adatvédelmi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rendelet) (továbbiakban: Rendelet),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 Polgári Törvénykönyvről szóló 2013. évi V. törvény;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 </w:t>
      </w:r>
      <w:proofErr w:type="spellStart"/>
      <w:r w:rsidRPr="009D36AB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D36AB">
        <w:rPr>
          <w:rFonts w:ascii="Times New Roman" w:hAnsi="Times New Roman" w:cs="Times New Roman"/>
          <w:sz w:val="24"/>
          <w:szCs w:val="24"/>
        </w:rPr>
        <w:t>.)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névhasználatáról szóló 20/2012. (VIII. 31.) EMMI rendelet (a továbbiakban: EMMI rendelet)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III. Az adatkezelésre irányadó alapelvek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a személyes adatokat jogszerűen és tisztességesen, valamint átláthatóan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kezeli.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a személyes adatokat csak meghatározott, egyértelmű és jogszerű célból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gyűjti, és azokat nem kezeli a célokkal össze nem egyeztethető módon.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minden ésszerű intézkedést megtesz annak érdekében, hogy az általa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kezelt adatok pontosak és szükség esetén naprakészek legyenek, amennyiben tudomására jut,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 xml:space="preserve">hogy valamely általa kezelt személyes adat pontatlan, haladéktalanul </w:t>
      </w:r>
      <w:r w:rsidR="009D36AB" w:rsidRPr="009D36AB">
        <w:rPr>
          <w:rFonts w:ascii="Times New Roman" w:hAnsi="Times New Roman" w:cs="Times New Roman"/>
          <w:sz w:val="24"/>
          <w:szCs w:val="24"/>
        </w:rPr>
        <w:tab/>
      </w:r>
      <w:r w:rsidRPr="009D36AB">
        <w:rPr>
          <w:rFonts w:ascii="Times New Roman" w:hAnsi="Times New Roman" w:cs="Times New Roman"/>
          <w:sz w:val="24"/>
          <w:szCs w:val="24"/>
        </w:rPr>
        <w:t>töröli vagy helyesbíti.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a személyes adatokat olyan formában tárolja, hogy csak a jogszabályban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meghatározott és/vagy a szükséges ideig legyen azonosítható.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megfelelő technikai és szervezési intézkedések alkalmazásával biztosítja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 xml:space="preserve">a személyes adatok megfelelő biztonságát annak érdekében, hogy a személyes </w:t>
      </w:r>
      <w:bookmarkStart w:id="0" w:name="_GoBack"/>
      <w:bookmarkEnd w:id="0"/>
      <w:r w:rsidRPr="009D36AB">
        <w:rPr>
          <w:rFonts w:ascii="Times New Roman" w:hAnsi="Times New Roman" w:cs="Times New Roman"/>
          <w:sz w:val="24"/>
          <w:szCs w:val="24"/>
        </w:rPr>
        <w:t>adatokjogosulatlan vagy jogellenes kezelése, véletlen elvesztése, megsemmisítése vagy károsodása ne</w:t>
      </w:r>
      <w:r w:rsidRP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történhessen meg.</w:t>
      </w:r>
      <w:r w:rsidR="009D36AB" w:rsidRPr="009D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F0" w:rsidRPr="009D36AB" w:rsidRDefault="00DD17F0" w:rsidP="009D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IV. Az adatkezelés jellemzői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D17F0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D17F0">
        <w:rPr>
          <w:rFonts w:ascii="Times New Roman" w:hAnsi="Times New Roman" w:cs="Times New Roman"/>
          <w:sz w:val="24"/>
          <w:szCs w:val="24"/>
        </w:rPr>
        <w:t>. 35. §-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17F0">
        <w:rPr>
          <w:rFonts w:ascii="Times New Roman" w:hAnsi="Times New Roman" w:cs="Times New Roman"/>
          <w:sz w:val="24"/>
          <w:szCs w:val="24"/>
        </w:rPr>
        <w:t xml:space="preserve"> alapján az általános iskolákban kötelező etika óra helyett a szülők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választhatják gyermeküknek az Országgyűlés által elismert bevett egyházak és azok belső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egyházi jogi személye által folytatott hit- és erkölcstan oktatást, amely választása esetén és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 tanulócsoport indítását követően az a tanuló számára kötelező tanórai foglalkozássá válik.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hit- és erkölcstan órára történő jelentkezés részletes szabályait az EMMI rendelet 14. §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(5) bekezdése, valamint a 182/A.-182/B. §-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17F0">
        <w:rPr>
          <w:rFonts w:ascii="Times New Roman" w:hAnsi="Times New Roman" w:cs="Times New Roman"/>
          <w:sz w:val="24"/>
          <w:szCs w:val="24"/>
        </w:rPr>
        <w:t xml:space="preserve"> állapítja meg.</w:t>
      </w:r>
    </w:p>
    <w:p w:rsidR="00DD17F0" w:rsidRPr="009D36AB" w:rsidRDefault="00DD17F0" w:rsidP="009D36AB">
      <w:pPr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Adatkezelés célja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hit- és erkölcstan órák a köznevelési intézményben tanulmányokat folytató gyermek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számára Országgyűlés által elismert bevett egyházak vagy azok belső egyházi jogi személye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bevonásával, valamint az ezzel kapcsolatos adminisztráció elvégzése.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Kezelt személyes adatok és az adatkezelés jogalapja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Az Adatkezelő kezeli és nyilvántartja az </w:t>
      </w:r>
      <w:proofErr w:type="spellStart"/>
      <w:r w:rsidRPr="00DD17F0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D17F0">
        <w:rPr>
          <w:rFonts w:ascii="Times New Roman" w:hAnsi="Times New Roman" w:cs="Times New Roman"/>
          <w:sz w:val="24"/>
          <w:szCs w:val="24"/>
        </w:rPr>
        <w:t>. 41. § (4). (4a) és (9) bekezdésekben</w:t>
      </w:r>
      <w:r w:rsidR="009D36AB">
        <w:rPr>
          <w:rFonts w:ascii="Times New Roman" w:hAnsi="Times New Roman" w:cs="Times New Roman"/>
          <w:sz w:val="24"/>
          <w:szCs w:val="24"/>
        </w:rPr>
        <w:t xml:space="preserve"> m</w:t>
      </w:r>
      <w:r w:rsidRPr="00DD17F0">
        <w:rPr>
          <w:rFonts w:ascii="Times New Roman" w:hAnsi="Times New Roman" w:cs="Times New Roman"/>
          <w:sz w:val="24"/>
          <w:szCs w:val="24"/>
        </w:rPr>
        <w:t>eghatározott tanulói személyes adatokat. Az adatkezelés közérdekű tevékenység ellátása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során végzett adatkezelés, jogalapja a Rendelet 6. cikk (1) bekezdés pontja.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Adattovábbítás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Amennyiben a szülő a hit- és erkölcstan oktatást választja, az erről szóló nyilatkozatával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egyidejűleg ahhoz is hozzájárul, hogy az iskola a gyermeke nevét és az osztálya megnevezését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az érintett bevett egyháznak vagy annak belső egyházi jogi személyének átadja.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adattovábbítással érintett személyes adatok: a tanuló neve, a köznevelési intézmény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megnevezése és a tanuló osztálya.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Személyes adatok kezelésének időtartama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Az Adatkezelő köznevelési intézmény a nyilvántartott gyermek és tanulói adatokat az </w:t>
      </w:r>
      <w:proofErr w:type="spellStart"/>
      <w:r w:rsidRPr="00DD17F0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D17F0">
        <w:rPr>
          <w:rFonts w:ascii="Times New Roman" w:hAnsi="Times New Roman" w:cs="Times New Roman"/>
          <w:sz w:val="24"/>
          <w:szCs w:val="24"/>
        </w:rPr>
        <w:t>.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41. § (10) bekezdésben meghatározottak szerint, a jogviszony megszűnésétől számított tíz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évig kezeli.</w:t>
      </w:r>
    </w:p>
    <w:p w:rsidR="00DD17F0" w:rsidRPr="009D36AB" w:rsidRDefault="00DD17F0" w:rsidP="009D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V. Az érintett</w:t>
      </w:r>
      <w:r w:rsidR="009D36AB" w:rsidRPr="009D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b/>
          <w:sz w:val="24"/>
          <w:szCs w:val="24"/>
        </w:rPr>
        <w:t>jogai az adatkezeléshez kapcsolódóan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Tájékoztatáshoz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érintettnek joga van az adatkezeléssel kapcsolatos tájékoztatáshoz, melyet az Adatkezelő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jelen tájékoztató rendelkezésre bocsátása útján teljesít.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Hozzáférési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érintettet kérelmére az Adatkezelő a későbbiekben bármikor tájékoztatja, hogy a személyes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adatainak kezelése folyamatban van-e és ha igen, akkor a személyes adatokhoz és a következő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információkhoz hozzáférést biztosít: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F0"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17F0" w:rsidRPr="00DD17F0">
        <w:rPr>
          <w:rFonts w:ascii="Times New Roman" w:hAnsi="Times New Roman" w:cs="Times New Roman"/>
          <w:sz w:val="24"/>
          <w:szCs w:val="24"/>
        </w:rPr>
        <w:t>) az adatkezelés céljai;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b) az érintett személyes adatok kategóriái;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c) azon címzettek vagy címzettek kategóriái, akikkel, illetve amelyekkel az Adatkezelő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="006537BE">
        <w:rPr>
          <w:rFonts w:ascii="Times New Roman" w:hAnsi="Times New Roman" w:cs="Times New Roman"/>
          <w:sz w:val="24"/>
          <w:szCs w:val="24"/>
        </w:rPr>
        <w:tab/>
        <w:t>a</w:t>
      </w:r>
      <w:r w:rsidR="00DD17F0" w:rsidRPr="00DD17F0">
        <w:rPr>
          <w:rFonts w:ascii="Times New Roman" w:hAnsi="Times New Roman" w:cs="Times New Roman"/>
          <w:sz w:val="24"/>
          <w:szCs w:val="24"/>
        </w:rPr>
        <w:t xml:space="preserve"> </w:t>
      </w:r>
      <w:r w:rsidR="006537BE">
        <w:rPr>
          <w:rFonts w:ascii="Times New Roman" w:hAnsi="Times New Roman" w:cs="Times New Roman"/>
          <w:sz w:val="24"/>
          <w:szCs w:val="24"/>
        </w:rPr>
        <w:t>s</w:t>
      </w:r>
      <w:r w:rsidR="00DD17F0" w:rsidRPr="00DD17F0">
        <w:rPr>
          <w:rFonts w:ascii="Times New Roman" w:hAnsi="Times New Roman" w:cs="Times New Roman"/>
          <w:sz w:val="24"/>
          <w:szCs w:val="24"/>
        </w:rPr>
        <w:t>zemélyes adatokat közölte vagy közölni fogja, ideértve különösen a harmadik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országbeli címzetteket, illetve a nemzetközi szervezeteket;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d) a személyes adatok tárolásának tervezett időtartama, vagy ha ez nem lehetséges, ezen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="006537BE"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időtartam meghatározásának szempontjai;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Személyes adatok helyesbítéséhez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 bármikor jogosult arra, hogy kérésére indokolatlan késedelem nélkül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Adatkezelő helyesbítse a vele, illetve kiskorú tanuló esetén a tanulókra vonatkozó pontatlan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adatokat.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Adatkezelő felhívja a figyelmet arra, hogy a személyes adataiban bekövetkezett változást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az érintett, illetve kiskorú tanuló esetén a szülő/törvényes képviselője mielőbb jelentse be,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ezzel is megkönnyítve a jogszerű adatkezelést, valamint a jogainak érvényesülését.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Ha az adatkezelő az az általa, illetve a megbízásából vagy rendelkezése alapján eljáró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adatfeldolgozó által kezelt személyes adatokat helyesbíti, annak tényéről és a helyesbített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adatról tájékoztatja az adatkezelőt, amely részére a helyesbítéssel érintett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adatot továbbította.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Törléshez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 jogosult arra, hogy kérésére az Adatkezelő indokolatlan késedelem nélkül törölje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 rá vonatkozó személyes adatokat, ha az alábbi indokok valamelyike fennáll: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F0"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17F0" w:rsidRPr="00DD17F0">
        <w:rPr>
          <w:rFonts w:ascii="Times New Roman" w:hAnsi="Times New Roman" w:cs="Times New Roman"/>
          <w:sz w:val="24"/>
          <w:szCs w:val="24"/>
        </w:rPr>
        <w:t xml:space="preserve">) a személyes adatokra már nincs szükség abból a célból, amelyből azokat az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Adatkezelő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F0" w:rsidRPr="00DD17F0">
        <w:rPr>
          <w:rFonts w:ascii="Times New Roman" w:hAnsi="Times New Roman" w:cs="Times New Roman"/>
          <w:sz w:val="24"/>
          <w:szCs w:val="24"/>
        </w:rPr>
        <w:t>gyűjtötte, vagy más módon kezelte;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b) az érintett tiltakozik az adatkezelés ellen, és nincs elsőbbséget élvező jogszerű ok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adatkezelésre, vagy tiltakozik a közvetlen üzletszerzés céljából történő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ellen;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c) az Adatkezelő a személyes adatokat jogellenesen kezelte;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 xml:space="preserve">d) a személyes adatokat az Adatkezelőre alkalmazandó uniós vagy tagállami jogban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előírt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F0" w:rsidRPr="00DD17F0">
        <w:rPr>
          <w:rFonts w:ascii="Times New Roman" w:hAnsi="Times New Roman" w:cs="Times New Roman"/>
          <w:sz w:val="24"/>
          <w:szCs w:val="24"/>
        </w:rPr>
        <w:t>jogi kötelezettség teljesítéséhez törölni kell;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lastRenderedPageBreak/>
        <w:t>Az adatkezelés korlátozásához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 jogosult arra, hogy kérésére az Adatkezelő korlátozza az adatkezelést, ha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alábbiak valamelyike teljesül: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F0"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17F0" w:rsidRPr="00DD17F0">
        <w:rPr>
          <w:rFonts w:ascii="Times New Roman" w:hAnsi="Times New Roman" w:cs="Times New Roman"/>
          <w:sz w:val="24"/>
          <w:szCs w:val="24"/>
        </w:rPr>
        <w:t>) vitatja a személyes adatok pontosságát; ez esetben a korlátozás arra az időtartamra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vonatkozik, amely lehetővé teszi, hogy az Adatkezelő ellenőrizze a személyes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pontosságát;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 xml:space="preserve">b) az adatkezelés jogellenes, és </w:t>
      </w:r>
      <w:proofErr w:type="spellStart"/>
      <w:r w:rsidR="00DD17F0" w:rsidRPr="00DD17F0">
        <w:rPr>
          <w:rFonts w:ascii="Times New Roman" w:hAnsi="Times New Roman" w:cs="Times New Roman"/>
          <w:sz w:val="24"/>
          <w:szCs w:val="24"/>
        </w:rPr>
        <w:t>ellenzi</w:t>
      </w:r>
      <w:proofErr w:type="spellEnd"/>
      <w:r w:rsidR="00DD17F0" w:rsidRPr="00DD17F0">
        <w:rPr>
          <w:rFonts w:ascii="Times New Roman" w:hAnsi="Times New Roman" w:cs="Times New Roman"/>
          <w:sz w:val="24"/>
          <w:szCs w:val="24"/>
        </w:rPr>
        <w:t xml:space="preserve"> az adatok törlését, ehelyett kéri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felhasználásának korlátozását;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c) az Adatkezelőnek már nincs szüksége a személyes adatokra adatkezelés céljából,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az érintett igényli azokat jogi igények előterjesztéséhez, érvényesítéséhez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védelméhez; vagy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d) az érintett tiltakozott az adatkezelés ellen; ez esetben a korlátozás arra az időtartamra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vonatkozik, amíg megállapításra nem kerül, hogy az adatkezelő jogos indokai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elsőbbséget élveznek-e az érintett jogos indokaival szemben.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Tiltakozáshoz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Mivel a személyes adatok kezelése az Adatkezelőre ruházott közhatalmi jogosítvány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gyakorlásának keretében végzett feladat végrehajtásához szükséges [Rendelet 6. cikk (1)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bekezdés e) pont] így az érintett jogosult arra, hogy a saját helyzetével kapcsolatos okokból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bármikor tiltakozzon személyes adatainak a kezelése ellen.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Az érintett jogainak érvényesítésére szolgáló eljárásrend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érintett, illetve a kiskorú tanuló esetén a szülője/törvényes képviselője a fenti jogait az 1.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pontban megjelölt elérhetőségre tekintettel megküldött elektronikus levelében, az Adatkezelő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székhelyére eljuttatott postai levélben, illetve az Adatkezelő székhelyén személyesen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gyakorolhatja. Adatkezelő az érintett illetve a kiskorú tanuló esetén a szülője/törvényes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képviselője által benyújtott, a tanulót megillető jogosultságok érvényesítésére irányuló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kérelmet annak benyújtásától számított legrövidebb idő alatt, de legfeljebb huszonöt napon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belül elbírálja és döntéséről az érintettet, illetve a kiskorú tanuló esetén a szülője/törvényes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képviselőjét írásban, vagy ha a kérelmet elektronikus úton nyújtották be, elektronikus úton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értesíti.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Amennyiben a kérelem nem teljesíthető, úgy az Adatkezelő haladéktalanul írásban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tájékoztatja az érintettet, illetve a kiskorú tanuló esetén a szülője/törvényes képviselőjét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elutasítás tényéről, annak jogi és ténybeli indokairól, valamint a jogorvoslat jogairól.</w:t>
      </w:r>
    </w:p>
    <w:p w:rsidR="00DD17F0" w:rsidRPr="006537BE" w:rsidRDefault="00DD17F0" w:rsidP="00653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V. Az érintett jogorvoslati joga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bírósági jogorvoslathoz való jogának érvényesítése érdekében az érintett az Adatkezelővel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szemben bírósághoz fordulhat, ha megítélése szerint az Adatkezelő, illetve az általa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megbízott vagy rendelkezése alapján eljáró adatfeldolgozó a személyes adatait a személyes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adatok kezelésére vonatkozó jogszabályban, vagy az Európai Uniókötelező jogi aktusaiban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meghatározott előírások megsértésével kezeli. A bíróság az ügyben soron kívül jár el. A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 xml:space="preserve">per elbírálása a törvényszék hatáskörébe tartozik. A per - az érintett választása szerint </w:t>
      </w:r>
      <w:r w:rsidR="006537BE">
        <w:rPr>
          <w:rFonts w:ascii="Times New Roman" w:hAnsi="Times New Roman" w:cs="Times New Roman"/>
          <w:sz w:val="24"/>
          <w:szCs w:val="24"/>
        </w:rPr>
        <w:t>–</w:t>
      </w:r>
      <w:r w:rsidRPr="00DD17F0">
        <w:rPr>
          <w:rFonts w:ascii="Times New Roman" w:hAnsi="Times New Roman" w:cs="Times New Roman"/>
          <w:sz w:val="24"/>
          <w:szCs w:val="24"/>
        </w:rPr>
        <w:t xml:space="preserve">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érintett lakóhelye vagy tartózkodási helye, vagy az Adatkezelő székhelye szerinti törvényszék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előtt is megindítható.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Nemzeti Adatvédelmi és Információszabadság Hatóságnál (NAIH) bejelentéssel (panasz)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az Adatkezelővel szemben bárki vizsgálatot kezdeményezhet arra hivatkozással, hogy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adatok kezelésével kapcsolatban jogsérelem következett be, vagy annak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közvetlen veszélye fennáll, illetve hogy az adatkezeléshez kapcsolódó jogainak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 xml:space="preserve">érvényesítését az Adatkezelő korlátozza, vagy 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D17F0">
        <w:rPr>
          <w:rFonts w:ascii="Times New Roman" w:hAnsi="Times New Roman" w:cs="Times New Roman"/>
          <w:sz w:val="24"/>
          <w:szCs w:val="24"/>
        </w:rPr>
        <w:t xml:space="preserve"> jogainak érvényesítésére irányuló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kérelmét elutasítja. A bejelentést az alábbi elérhetőségek valamelyikén lehet megtenni: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Nemzeti Adatvédelmi és Információszabadság Hatóság (NAIH)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Postacím: 1530 Budapest, Pf.: 9.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Cím: 1055 Budapest, Falk Miksa utca 9-11. szám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Telefon: +36 (1) 391-1400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E-mail: ugyfelszolgalat@naih.hu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URL: http://naih.hu</w:t>
      </w:r>
    </w:p>
    <w:p w:rsidR="006537BE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B3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Kelt: </w:t>
      </w:r>
      <w:r w:rsidR="006537BE">
        <w:rPr>
          <w:rFonts w:ascii="Times New Roman" w:hAnsi="Times New Roman" w:cs="Times New Roman"/>
          <w:sz w:val="24"/>
          <w:szCs w:val="24"/>
        </w:rPr>
        <w:t>Budapest</w:t>
      </w:r>
      <w:r w:rsidRPr="00DD17F0">
        <w:rPr>
          <w:rFonts w:ascii="Times New Roman" w:hAnsi="Times New Roman" w:cs="Times New Roman"/>
          <w:sz w:val="24"/>
          <w:szCs w:val="24"/>
        </w:rPr>
        <w:t>, 202</w:t>
      </w:r>
      <w:r w:rsidR="006537BE">
        <w:rPr>
          <w:rFonts w:ascii="Times New Roman" w:hAnsi="Times New Roman" w:cs="Times New Roman"/>
          <w:sz w:val="24"/>
          <w:szCs w:val="24"/>
        </w:rPr>
        <w:t>2</w:t>
      </w:r>
      <w:r w:rsidRPr="00DD17F0">
        <w:rPr>
          <w:rFonts w:ascii="Times New Roman" w:hAnsi="Times New Roman" w:cs="Times New Roman"/>
          <w:sz w:val="24"/>
          <w:szCs w:val="24"/>
        </w:rPr>
        <w:t>.</w:t>
      </w:r>
      <w:r w:rsidR="006537BE">
        <w:rPr>
          <w:rFonts w:ascii="Times New Roman" w:hAnsi="Times New Roman" w:cs="Times New Roman"/>
          <w:sz w:val="24"/>
          <w:szCs w:val="24"/>
        </w:rPr>
        <w:t>04</w:t>
      </w:r>
      <w:r w:rsidRPr="00DD17F0">
        <w:rPr>
          <w:rFonts w:ascii="Times New Roman" w:hAnsi="Times New Roman" w:cs="Times New Roman"/>
          <w:sz w:val="24"/>
          <w:szCs w:val="24"/>
        </w:rPr>
        <w:t>.</w:t>
      </w:r>
      <w:r w:rsidR="006537BE">
        <w:rPr>
          <w:rFonts w:ascii="Times New Roman" w:hAnsi="Times New Roman" w:cs="Times New Roman"/>
          <w:sz w:val="24"/>
          <w:szCs w:val="24"/>
        </w:rPr>
        <w:t>06</w:t>
      </w:r>
      <w:r w:rsidRPr="00DD17F0">
        <w:rPr>
          <w:rFonts w:ascii="Times New Roman" w:hAnsi="Times New Roman" w:cs="Times New Roman"/>
          <w:sz w:val="24"/>
          <w:szCs w:val="24"/>
        </w:rPr>
        <w:t>.</w:t>
      </w:r>
    </w:p>
    <w:sectPr w:rsidR="002C04B3" w:rsidRPr="00DD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D90"/>
    <w:multiLevelType w:val="hybridMultilevel"/>
    <w:tmpl w:val="7392162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25769F"/>
    <w:multiLevelType w:val="hybridMultilevel"/>
    <w:tmpl w:val="E334E59A"/>
    <w:lvl w:ilvl="0" w:tplc="824AB4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C04A2A"/>
    <w:multiLevelType w:val="hybridMultilevel"/>
    <w:tmpl w:val="BCCC8B1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116951"/>
    <w:multiLevelType w:val="hybridMultilevel"/>
    <w:tmpl w:val="5BAEADF8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0"/>
    <w:rsid w:val="002C04B3"/>
    <w:rsid w:val="006537BE"/>
    <w:rsid w:val="009D36AB"/>
    <w:rsid w:val="00D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04E9"/>
  <w15:chartTrackingRefBased/>
  <w15:docId w15:val="{E6ACA019-328A-47ED-9155-5C7995D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1261</Words>
  <Characters>8705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Edina</dc:creator>
  <cp:keywords/>
  <dc:description/>
  <cp:lastModifiedBy>Horváth Edina</cp:lastModifiedBy>
  <cp:revision>1</cp:revision>
  <dcterms:created xsi:type="dcterms:W3CDTF">2022-04-11T07:31:00Z</dcterms:created>
  <dcterms:modified xsi:type="dcterms:W3CDTF">2022-04-11T07:59:00Z</dcterms:modified>
</cp:coreProperties>
</file>